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预拌砂浆专业委员会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管理办法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444444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分支机构在本团体章程规定的原则下制订自己的管理办法,在本团体的授权范围内开展活动。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2、预拌砂浆专业委员会是浙江省散装水泥与预拌砂浆发展研究会的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分支机构，是本团体为开展业务活动的需要,按其业务范围科学划分而设立的专门从事业务活动的内部机构。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3、本研究会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分支机构以专业委员会的形式设立,在理事会的领导下开展工作,秘书处负责协调、监督和指导其日常工作,其设立程序和工作范围执行省民政厅和本团体章程的有关规定。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4、本研究会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分支机构设主任委员1人,副主任委员若干人,其人选由秘书长提名,经理事会或常务理事会审议通过后,由理事会聘任。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5、本研究会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分支机构是本团体的组成部分,本身不具有独立法人资格。其必须遵守本团体章程,接受本团体的领导和管理,其名称前应冠以本团体名称。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6、本研究会分支机构财务原则上归本社会组织财务部门统一管理，执行本社会组织分支机构财务管理办法，不得单独开设银行账户。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5"/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浙江省散装水泥与预拌砂浆发展研究会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FjMjFiZDlmZjkwMTU1NmU1YjMwMzQ1ZDFjZWUifQ=="/>
  </w:docVars>
  <w:rsids>
    <w:rsidRoot w:val="00000000"/>
    <w:rsid w:val="1A620582"/>
    <w:rsid w:val="21346E61"/>
    <w:rsid w:val="284B1D3D"/>
    <w:rsid w:val="38C56C0D"/>
    <w:rsid w:val="471A2301"/>
    <w:rsid w:val="58191E02"/>
    <w:rsid w:val="6FD40F09"/>
    <w:rsid w:val="7FA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2023-09-11T09:24:00Z</dcterms:created>
  <dc:creator>Administrator</dc:creator>
  <cp:lastModifiedBy>天使的微笑</cp:lastModifiedBy>
  <cp:lastPrinted>2023-09-12T08:20:54Z</cp:lastPrinted>
  <dcterms:modified xsi:type="dcterms:W3CDTF">2023-09-12T08:20:57Z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C4771B0259A8478D92DC3CEEF26E4C44_12</vt:lpwstr>
  </property>
</Properties>
</file>